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90DF" w14:textId="77777777" w:rsidR="00FA401B" w:rsidRDefault="004A73E7">
      <w:pPr>
        <w:widowControl/>
        <w:spacing w:before="100" w:beforeAutospacing="1" w:line="360" w:lineRule="auto"/>
        <w:jc w:val="center"/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关于面向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20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27"/>
          <w:szCs w:val="27"/>
        </w:rPr>
        <w:t>22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级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27"/>
          <w:szCs w:val="27"/>
        </w:rPr>
        <w:t>学生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招收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ACCA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方向班</w:t>
      </w:r>
      <w:r>
        <w:rPr>
          <w:rFonts w:ascii="Verdana" w:eastAsia="宋体" w:hAnsi="Verdana" w:cs="宋体" w:hint="eastAsia"/>
          <w:b/>
          <w:bCs/>
          <w:color w:val="000000"/>
          <w:kern w:val="0"/>
          <w:sz w:val="27"/>
          <w:szCs w:val="27"/>
        </w:rPr>
        <w:t>学生</w:t>
      </w:r>
      <w:r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的通知</w:t>
      </w:r>
    </w:p>
    <w:p w14:paraId="33599633" w14:textId="77777777" w:rsidR="00FA401B" w:rsidRDefault="004A73E7">
      <w:pPr>
        <w:widowControl/>
        <w:spacing w:beforeLines="50" w:before="156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2022</w:t>
      </w:r>
      <w:r>
        <w:rPr>
          <w:rFonts w:ascii="宋体" w:eastAsia="宋体" w:hAnsi="宋体" w:cs="宋体" w:hint="eastAsia"/>
          <w:b/>
          <w:kern w:val="0"/>
          <w:szCs w:val="21"/>
        </w:rPr>
        <w:t>级全体同学：</w:t>
      </w:r>
    </w:p>
    <w:p w14:paraId="0EE3FE8B" w14:textId="77777777" w:rsidR="00FA401B" w:rsidRDefault="004A73E7">
      <w:pPr>
        <w:widowControl/>
        <w:spacing w:beforeLines="50" w:before="156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大家好！祝贺你们成为大连民族大学的一员，祝愿大家的大学生活丰富精彩、成果丰硕！</w:t>
      </w:r>
    </w:p>
    <w:p w14:paraId="5BA8D012" w14:textId="3BB27FC5" w:rsidR="00FA401B" w:rsidRDefault="004A73E7">
      <w:pPr>
        <w:widowControl/>
        <w:spacing w:before="100" w:beforeAutospacing="1" w:after="100" w:afterAutospacing="1" w:line="336" w:lineRule="auto"/>
        <w:ind w:firstLineChars="200"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  <w:highlight w:val="yellow"/>
        </w:rPr>
        <w:t>大连民族大学会计学专业是国家级一流本科专业建设点（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2021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年）、辽宁省一流本科教育示范专业（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2020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年）、</w:t>
      </w:r>
      <w:r>
        <w:rPr>
          <w:rFonts w:ascii="宋体" w:eastAsia="宋体" w:hAnsi="宋体" w:cs="宋体" w:hint="eastAsia"/>
          <w:kern w:val="0"/>
          <w:szCs w:val="21"/>
        </w:rPr>
        <w:t>综合改革试点专业（</w:t>
      </w:r>
      <w:r>
        <w:rPr>
          <w:rFonts w:ascii="宋体" w:eastAsia="宋体" w:hAnsi="宋体" w:cs="宋体" w:hint="eastAsia"/>
          <w:kern w:val="0"/>
          <w:szCs w:val="21"/>
        </w:rPr>
        <w:t>2011</w:t>
      </w:r>
      <w:r>
        <w:rPr>
          <w:rFonts w:ascii="宋体" w:eastAsia="宋体" w:hAnsi="宋体" w:cs="宋体" w:hint="eastAsia"/>
          <w:kern w:val="0"/>
          <w:szCs w:val="21"/>
        </w:rPr>
        <w:t>年）、辽宁省示范专业（</w:t>
      </w:r>
      <w:r>
        <w:rPr>
          <w:rFonts w:ascii="宋体" w:eastAsia="宋体" w:hAnsi="宋体" w:cs="宋体" w:hint="eastAsia"/>
          <w:kern w:val="0"/>
          <w:szCs w:val="21"/>
        </w:rPr>
        <w:t>2009</w:t>
      </w:r>
      <w:r>
        <w:rPr>
          <w:rFonts w:ascii="宋体" w:eastAsia="宋体" w:hAnsi="宋体" w:cs="宋体" w:hint="eastAsia"/>
          <w:kern w:val="0"/>
          <w:szCs w:val="21"/>
        </w:rPr>
        <w:t>年），会计学专业团队是辽宁省优秀教学团队（</w:t>
      </w:r>
      <w:r>
        <w:rPr>
          <w:rFonts w:ascii="宋体" w:eastAsia="宋体" w:hAnsi="宋体" w:cs="宋体" w:hint="eastAsia"/>
          <w:kern w:val="0"/>
          <w:szCs w:val="21"/>
        </w:rPr>
        <w:t>2010</w:t>
      </w:r>
      <w:r>
        <w:rPr>
          <w:rFonts w:ascii="宋体" w:eastAsia="宋体" w:hAnsi="宋体" w:cs="宋体" w:hint="eastAsia"/>
          <w:kern w:val="0"/>
          <w:szCs w:val="21"/>
        </w:rPr>
        <w:t>年）。会计学专业课程《会计学》、《财务会计》、《管理会计》、《会计信息系统》、《读懂资产负债表》等为省级一流本科课程。会计学专业在</w:t>
      </w:r>
      <w:r>
        <w:rPr>
          <w:rFonts w:ascii="宋体" w:eastAsia="宋体" w:hAnsi="宋体" w:cs="宋体" w:hint="eastAsia"/>
          <w:kern w:val="0"/>
          <w:szCs w:val="21"/>
        </w:rPr>
        <w:t>2012</w:t>
      </w:r>
      <w:r>
        <w:rPr>
          <w:rFonts w:ascii="宋体" w:eastAsia="宋体" w:hAnsi="宋体" w:cs="宋体" w:hint="eastAsia"/>
          <w:kern w:val="0"/>
          <w:szCs w:val="21"/>
        </w:rPr>
        <w:t>年辽宁省高等学校本科专业综合评价中排名第四。</w:t>
      </w:r>
      <w:r>
        <w:rPr>
          <w:rFonts w:ascii="宋体" w:eastAsia="宋体" w:hAnsi="宋体" w:cs="宋体" w:hint="eastAsia"/>
          <w:kern w:val="0"/>
          <w:szCs w:val="21"/>
        </w:rPr>
        <w:t>2011</w:t>
      </w:r>
      <w:r>
        <w:rPr>
          <w:rFonts w:ascii="宋体" w:eastAsia="宋体" w:hAnsi="宋体" w:cs="宋体" w:hint="eastAsia"/>
          <w:kern w:val="0"/>
          <w:szCs w:val="21"/>
        </w:rPr>
        <w:t>年，国际商学院承担了学校国家教育体制改革试点项目子课题“国际化人才培养体系的创新与实践”。按会计学专业国际化人才培养体系的规划，大连民族大学国际商学院从</w:t>
      </w:r>
      <w:r>
        <w:rPr>
          <w:rFonts w:ascii="宋体" w:eastAsia="宋体" w:hAnsi="宋体" w:cs="宋体" w:hint="eastAsia"/>
          <w:kern w:val="0"/>
          <w:szCs w:val="21"/>
        </w:rPr>
        <w:t>2013</w:t>
      </w:r>
      <w:r>
        <w:rPr>
          <w:rFonts w:ascii="宋体" w:eastAsia="宋体" w:hAnsi="宋体" w:cs="宋体" w:hint="eastAsia"/>
          <w:kern w:val="0"/>
          <w:szCs w:val="21"/>
        </w:rPr>
        <w:t>年起，每年在全校新生中选拔</w:t>
      </w:r>
      <w:r>
        <w:rPr>
          <w:rFonts w:ascii="宋体" w:eastAsia="宋体" w:hAnsi="宋体" w:cs="宋体" w:hint="eastAsia"/>
          <w:kern w:val="0"/>
          <w:szCs w:val="21"/>
        </w:rPr>
        <w:t>40</w:t>
      </w:r>
      <w:r>
        <w:rPr>
          <w:rFonts w:ascii="宋体" w:eastAsia="宋体" w:hAnsi="宋体" w:cs="宋体" w:hint="eastAsia"/>
          <w:kern w:val="0"/>
          <w:szCs w:val="21"/>
        </w:rPr>
        <w:t>名学生单独组建会计学专业</w:t>
      </w:r>
      <w:r>
        <w:rPr>
          <w:rFonts w:ascii="宋体" w:eastAsia="宋体" w:hAnsi="宋体" w:cs="宋体" w:hint="eastAsia"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CCA</w:t>
      </w:r>
      <w:r>
        <w:rPr>
          <w:rFonts w:ascii="宋体" w:eastAsia="宋体" w:hAnsi="宋体" w:cs="宋体" w:hint="eastAsia"/>
          <w:kern w:val="0"/>
          <w:szCs w:val="21"/>
        </w:rPr>
        <w:t>方向班，开设国际先进的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专业主干课程和我校会计学专业核心课程，培养具有国际视野和专业特长的高水平专业人才，满足跨国公司、金融机构和大型会计师事务所等对高端财经管理人才的需求。</w:t>
      </w:r>
    </w:p>
    <w:p w14:paraId="76431781" w14:textId="77777777" w:rsidR="00FA401B" w:rsidRDefault="004A73E7">
      <w:pPr>
        <w:widowControl/>
        <w:spacing w:before="100" w:beforeAutospacing="1" w:after="100" w:afterAutospacing="1" w:line="336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一、方向班简介</w:t>
      </w:r>
    </w:p>
    <w:p w14:paraId="06E9AF52" w14:textId="77777777" w:rsidR="00FA401B" w:rsidRDefault="004A73E7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kern w:val="0"/>
          <w:szCs w:val="21"/>
          <w:highlight w:val="yellow"/>
        </w:rPr>
      </w:pPr>
      <w:r>
        <w:rPr>
          <w:rFonts w:ascii="宋体" w:eastAsia="宋体" w:hAnsi="宋体" w:cs="宋体" w:hint="eastAsia"/>
          <w:kern w:val="0"/>
          <w:szCs w:val="21"/>
        </w:rPr>
        <w:t>大连民族大学会计学专业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方向班学制为</w:t>
      </w:r>
      <w:r>
        <w:rPr>
          <w:rFonts w:ascii="宋体" w:eastAsia="宋体" w:hAnsi="宋体" w:cs="宋体" w:hint="eastAsia"/>
          <w:kern w:val="0"/>
          <w:szCs w:val="21"/>
        </w:rPr>
        <w:t>4</w:t>
      </w:r>
      <w:r>
        <w:rPr>
          <w:rFonts w:ascii="宋体" w:eastAsia="宋体" w:hAnsi="宋体" w:cs="宋体" w:hint="eastAsia"/>
          <w:kern w:val="0"/>
          <w:szCs w:val="21"/>
        </w:rPr>
        <w:t>年，学生完成大连民族大学会计学专业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班培养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方案规定的学分，符合学士学位授予条件，即可获得大连民族大学会计学专业毕业证书及管理学学士学位。同时，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方向班将国际公认的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资格考试课程嵌入人才培养方案，</w:t>
      </w:r>
      <w:r>
        <w:rPr>
          <w:rFonts w:ascii="宋体" w:hAnsi="宋体" w:cs="宋体"/>
          <w:kern w:val="0"/>
          <w:szCs w:val="21"/>
        </w:rPr>
        <w:t>入学第一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即开始</w:t>
      </w:r>
      <w:r>
        <w:rPr>
          <w:rFonts w:ascii="宋体" w:hAnsi="宋体" w:cs="宋体"/>
          <w:kern w:val="0"/>
          <w:szCs w:val="21"/>
        </w:rPr>
        <w:t>ACCA</w:t>
      </w:r>
      <w:r>
        <w:rPr>
          <w:rFonts w:ascii="宋体" w:hAnsi="宋体" w:cs="宋体"/>
          <w:kern w:val="0"/>
          <w:szCs w:val="21"/>
        </w:rPr>
        <w:t>专业课程的学习。</w:t>
      </w:r>
      <w:r>
        <w:rPr>
          <w:rFonts w:ascii="宋体" w:eastAsia="宋体" w:hAnsi="宋体" w:cs="宋体" w:hint="eastAsia"/>
          <w:kern w:val="0"/>
          <w:szCs w:val="21"/>
        </w:rPr>
        <w:t>按大连民族大学国际商学院与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北京代表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处签署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的合作协议，会计学专业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班注册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学生参加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全球考试，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可以免考的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5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门课程（五门课程的成绩以我校自主考核的结果为准，但按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ACCA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规定，申请免考的课程</w:t>
      </w:r>
      <w:proofErr w:type="gramStart"/>
      <w:r>
        <w:rPr>
          <w:rFonts w:ascii="宋体" w:eastAsia="宋体" w:hAnsi="宋体" w:cs="宋体" w:hint="eastAsia"/>
          <w:kern w:val="0"/>
          <w:szCs w:val="21"/>
          <w:highlight w:val="yellow"/>
        </w:rPr>
        <w:t>需正常</w:t>
      </w:r>
      <w:proofErr w:type="gramEnd"/>
      <w:r>
        <w:rPr>
          <w:rFonts w:ascii="宋体" w:eastAsia="宋体" w:hAnsi="宋体" w:cs="宋体" w:hint="eastAsia"/>
          <w:kern w:val="0"/>
          <w:szCs w:val="21"/>
          <w:highlight w:val="yellow"/>
        </w:rPr>
        <w:t>缴纳考试费），学生只要再通过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ACCA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其他</w:t>
      </w:r>
      <w:r>
        <w:rPr>
          <w:rFonts w:ascii="宋体" w:eastAsia="宋体" w:hAnsi="宋体" w:cs="宋体"/>
          <w:kern w:val="0"/>
          <w:szCs w:val="21"/>
          <w:highlight w:val="yellow"/>
        </w:rPr>
        <w:t>8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门课程的全球考试就可以获得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ACCA</w:t>
      </w:r>
      <w:r>
        <w:rPr>
          <w:rFonts w:ascii="宋体" w:eastAsia="宋体" w:hAnsi="宋体" w:cs="宋体" w:hint="eastAsia"/>
          <w:kern w:val="0"/>
          <w:szCs w:val="21"/>
          <w:highlight w:val="yellow"/>
        </w:rPr>
        <w:t>资格证书。</w:t>
      </w:r>
    </w:p>
    <w:p w14:paraId="4DF78F37" w14:textId="77777777" w:rsidR="00FA401B" w:rsidRDefault="004A73E7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2013</w:t>
      </w:r>
      <w:r>
        <w:rPr>
          <w:rFonts w:ascii="宋体" w:eastAsia="宋体" w:hAnsi="宋体" w:cs="宋体" w:hint="eastAsia"/>
          <w:kern w:val="0"/>
          <w:szCs w:val="21"/>
        </w:rPr>
        <w:t>级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方向班的宋浩、吕佳琪同学就职于德勤华永会计师事务所北京分所审计部。</w:t>
      </w:r>
      <w:r>
        <w:rPr>
          <w:rFonts w:ascii="宋体" w:eastAsia="宋体" w:hAnsi="宋体" w:cs="宋体" w:hint="eastAsia"/>
          <w:kern w:val="0"/>
          <w:szCs w:val="21"/>
        </w:rPr>
        <w:t>2015</w:t>
      </w:r>
      <w:r>
        <w:rPr>
          <w:rFonts w:ascii="宋体" w:eastAsia="宋体" w:hAnsi="宋体" w:cs="宋体" w:hint="eastAsia"/>
          <w:kern w:val="0"/>
          <w:szCs w:val="21"/>
        </w:rPr>
        <w:t>级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方向班李慧萱同学就职于安永会计师事务所天津分所。</w:t>
      </w:r>
      <w:r>
        <w:rPr>
          <w:rFonts w:ascii="宋体" w:eastAsia="宋体" w:hAnsi="宋体" w:cs="宋体" w:hint="eastAsia"/>
          <w:kern w:val="0"/>
          <w:szCs w:val="21"/>
        </w:rPr>
        <w:t>2014</w:t>
      </w:r>
      <w:r>
        <w:rPr>
          <w:rFonts w:ascii="宋体" w:eastAsia="宋体" w:hAnsi="宋体" w:cs="宋体" w:hint="eastAsia"/>
          <w:kern w:val="0"/>
          <w:szCs w:val="21"/>
        </w:rPr>
        <w:t>级、</w:t>
      </w:r>
      <w:r>
        <w:rPr>
          <w:rFonts w:ascii="宋体" w:eastAsia="宋体" w:hAnsi="宋体" w:cs="宋体" w:hint="eastAsia"/>
          <w:kern w:val="0"/>
          <w:szCs w:val="21"/>
        </w:rPr>
        <w:t>2015</w:t>
      </w:r>
      <w:r>
        <w:rPr>
          <w:rFonts w:ascii="宋体" w:eastAsia="宋体" w:hAnsi="宋体" w:cs="宋体" w:hint="eastAsia"/>
          <w:kern w:val="0"/>
          <w:szCs w:val="21"/>
        </w:rPr>
        <w:t>级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方向班近半数的同学收到了英国、澳</w:t>
      </w:r>
      <w:r>
        <w:rPr>
          <w:rFonts w:ascii="宋体" w:eastAsia="宋体" w:hAnsi="宋体" w:cs="宋体" w:hint="eastAsia"/>
          <w:kern w:val="0"/>
          <w:szCs w:val="21"/>
        </w:rPr>
        <w:t>洲、德国、瑞典、香港及国内知名大学的研究生录取通知书。</w:t>
      </w:r>
      <w:r>
        <w:rPr>
          <w:rFonts w:ascii="宋体" w:eastAsia="宋体" w:hAnsi="宋体" w:cs="宋体" w:hint="eastAsia"/>
          <w:kern w:val="0"/>
          <w:szCs w:val="21"/>
        </w:rPr>
        <w:t>2014</w:t>
      </w:r>
      <w:r>
        <w:rPr>
          <w:rFonts w:ascii="宋体" w:eastAsia="宋体" w:hAnsi="宋体" w:cs="宋体" w:hint="eastAsia"/>
          <w:kern w:val="0"/>
          <w:szCs w:val="21"/>
        </w:rPr>
        <w:t>级、</w:t>
      </w:r>
      <w:r>
        <w:rPr>
          <w:rFonts w:ascii="宋体" w:eastAsia="宋体" w:hAnsi="宋体" w:cs="宋体" w:hint="eastAsia"/>
          <w:kern w:val="0"/>
          <w:szCs w:val="21"/>
        </w:rPr>
        <w:t>2015</w:t>
      </w:r>
      <w:r>
        <w:rPr>
          <w:rFonts w:ascii="宋体" w:eastAsia="宋体" w:hAnsi="宋体" w:cs="宋体" w:hint="eastAsia"/>
          <w:kern w:val="0"/>
          <w:szCs w:val="21"/>
        </w:rPr>
        <w:t>级和</w:t>
      </w:r>
      <w:r>
        <w:rPr>
          <w:rFonts w:ascii="宋体" w:eastAsia="宋体" w:hAnsi="宋体" w:cs="宋体" w:hint="eastAsia"/>
          <w:kern w:val="0"/>
          <w:szCs w:val="21"/>
        </w:rPr>
        <w:t>2016</w:t>
      </w:r>
      <w:r>
        <w:rPr>
          <w:rFonts w:ascii="宋体" w:eastAsia="宋体" w:hAnsi="宋体" w:cs="宋体" w:hint="eastAsia"/>
          <w:kern w:val="0"/>
          <w:szCs w:val="21"/>
        </w:rPr>
        <w:t>级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方向班参加全球统考课程的通过率，均大幅超过全球通考的通过率。</w:t>
      </w:r>
    </w:p>
    <w:p w14:paraId="2D3E1430" w14:textId="77777777" w:rsidR="00FA401B" w:rsidRDefault="004A73E7">
      <w:pPr>
        <w:widowControl/>
        <w:spacing w:before="100" w:beforeAutospacing="1" w:after="100" w:afterAutospacing="1" w:line="336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二、方向班特色</w:t>
      </w:r>
    </w:p>
    <w:p w14:paraId="41993BCC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bookmarkStart w:id="0" w:name="_Toc29503"/>
      <w:r>
        <w:rPr>
          <w:rFonts w:ascii="宋体" w:eastAsia="宋体" w:hAnsi="宋体" w:cs="宋体" w:hint="eastAsia"/>
          <w:kern w:val="0"/>
          <w:szCs w:val="21"/>
          <w:lang w:val="zh-TW"/>
        </w:rPr>
        <w:lastRenderedPageBreak/>
        <w:t>（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1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）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学生在校期间可以获得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认证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：</w:t>
      </w:r>
      <w:bookmarkEnd w:id="0"/>
    </w:p>
    <w:p w14:paraId="2E97CA17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 xml:space="preserve">● </w:t>
      </w:r>
      <w:r>
        <w:rPr>
          <w:rFonts w:ascii="宋体" w:eastAsia="宋体" w:hAnsi="宋体" w:cs="宋体" w:hint="eastAsia"/>
          <w:kern w:val="0"/>
          <w:szCs w:val="21"/>
        </w:rPr>
        <w:t>大连民族大学会计学专业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毕业证书和</w:t>
      </w:r>
      <w:r>
        <w:rPr>
          <w:rFonts w:ascii="宋体" w:eastAsia="宋体" w:hAnsi="宋体" w:cs="宋体" w:hint="eastAsia"/>
          <w:kern w:val="0"/>
          <w:szCs w:val="21"/>
        </w:rPr>
        <w:t>管理学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学士学位（修完规定学分）；</w:t>
      </w:r>
    </w:p>
    <w:p w14:paraId="1030AB0D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>● 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各阶段执业资格证书（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大纲分为</w:t>
      </w:r>
      <w:r>
        <w:rPr>
          <w:rFonts w:ascii="宋体" w:eastAsia="宋体" w:hAnsi="宋体" w:cs="宋体" w:hint="eastAsia"/>
          <w:kern w:val="0"/>
          <w:szCs w:val="21"/>
        </w:rPr>
        <w:t>三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个阶段，每通过一阶段即可获得相应资格认证）；</w:t>
      </w:r>
    </w:p>
    <w:p w14:paraId="361ECB45" w14:textId="42153D28" w:rsidR="00FA401B" w:rsidRPr="006F3B4E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 xml:space="preserve">● 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获得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战略合作伙伴</w:t>
      </w:r>
      <w:r>
        <w:rPr>
          <w:rFonts w:ascii="宋体" w:eastAsia="宋体" w:hAnsi="宋体" w:cs="宋体"/>
          <w:kern w:val="0"/>
          <w:szCs w:val="21"/>
        </w:rPr>
        <w:t>--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英国国立牛津布鲁克斯大学应用会计理学学士学位</w:t>
      </w:r>
      <w:bookmarkStart w:id="1" w:name="_GoBack"/>
      <w:r w:rsidR="008A28E2" w:rsidRPr="006F3B4E">
        <w:rPr>
          <w:rFonts w:ascii="宋体" w:eastAsia="宋体" w:hAnsi="宋体" w:cs="宋体"/>
          <w:kern w:val="0"/>
          <w:szCs w:val="21"/>
          <w:lang w:val="zh-TW" w:eastAsia="zh-TW"/>
        </w:rPr>
        <w:t>（通过基础阶段考试并提交申请）</w:t>
      </w:r>
      <w:r w:rsidRPr="006F3B4E">
        <w:rPr>
          <w:rFonts w:ascii="宋体" w:eastAsia="宋体" w:hAnsi="宋体" w:cs="宋体" w:hint="eastAsia"/>
          <w:kern w:val="0"/>
          <w:szCs w:val="21"/>
          <w:lang w:val="zh-TW"/>
        </w:rPr>
        <w:t>；</w:t>
      </w:r>
    </w:p>
    <w:bookmarkEnd w:id="1"/>
    <w:p w14:paraId="5668DCB9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 xml:space="preserve">● 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通过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其他海外大学合作伙伴，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毕业学员最短六个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月可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获得财务与金融学硕士学位。</w:t>
      </w:r>
    </w:p>
    <w:p w14:paraId="0FE88A10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bookmarkStart w:id="2" w:name="_Toc10994"/>
      <w:r>
        <w:rPr>
          <w:rFonts w:ascii="宋体" w:eastAsia="宋体" w:hAnsi="宋体" w:cs="宋体" w:hint="eastAsia"/>
          <w:kern w:val="0"/>
          <w:szCs w:val="21"/>
          <w:lang w:val="zh-TW"/>
        </w:rPr>
        <w:t>（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2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）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学生可以获得的知识技能和就业支持：</w:t>
      </w:r>
      <w:bookmarkEnd w:id="2"/>
    </w:p>
    <w:p w14:paraId="67054E05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>●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高标准的国际财务专业水平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；</w:t>
      </w:r>
    </w:p>
    <w:p w14:paraId="518EF739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>●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娴熟的专业财务英语技能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；</w:t>
      </w:r>
    </w:p>
    <w:p w14:paraId="74AF24A3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>●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知名企业实习及就业机会</w:t>
      </w:r>
      <w:r>
        <w:rPr>
          <w:rFonts w:ascii="宋体" w:eastAsia="宋体" w:hAnsi="宋体" w:cs="宋体" w:hint="eastAsia"/>
          <w:kern w:val="0"/>
          <w:szCs w:val="21"/>
          <w:lang w:val="zh-TW"/>
        </w:rPr>
        <w:t>；</w:t>
      </w:r>
    </w:p>
    <w:p w14:paraId="7E1D86BC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 w:eastAsia="zh-TW"/>
        </w:rPr>
      </w:pPr>
      <w:r>
        <w:rPr>
          <w:rFonts w:ascii="宋体" w:eastAsia="宋体" w:hAnsi="宋体" w:cs="宋体"/>
          <w:kern w:val="0"/>
          <w:szCs w:val="21"/>
        </w:rPr>
        <w:t>●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直通海外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合作大学继续深造；</w:t>
      </w:r>
    </w:p>
    <w:p w14:paraId="4DC6CE83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  <w:lang w:val="zh-TW"/>
        </w:rPr>
      </w:pPr>
      <w:r>
        <w:rPr>
          <w:rFonts w:ascii="宋体" w:eastAsia="宋体" w:hAnsi="宋体" w:cs="宋体"/>
          <w:kern w:val="0"/>
          <w:szCs w:val="21"/>
        </w:rPr>
        <w:t>●ACCA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雇主联盟终身职业发展支持。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在全球拥有超过</w:t>
      </w:r>
      <w:r>
        <w:rPr>
          <w:rFonts w:ascii="宋体" w:eastAsia="宋体" w:hAnsi="宋体" w:cs="宋体"/>
          <w:kern w:val="0"/>
          <w:szCs w:val="21"/>
        </w:rPr>
        <w:t>8500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家的认可企业，在中国拥有超过</w:t>
      </w:r>
      <w:r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/>
          <w:kern w:val="0"/>
          <w:szCs w:val="21"/>
        </w:rPr>
        <w:t>00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家</w:t>
      </w:r>
      <w:r>
        <w:rPr>
          <w:rFonts w:ascii="宋体" w:eastAsia="宋体" w:hAnsi="宋体" w:cs="宋体"/>
          <w:kern w:val="0"/>
          <w:szCs w:val="21"/>
        </w:rPr>
        <w:t>ACCA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认可企业，均为世界及中国区</w:t>
      </w:r>
      <w:r>
        <w:rPr>
          <w:rFonts w:ascii="宋体" w:eastAsia="宋体" w:hAnsi="宋体" w:cs="宋体"/>
          <w:kern w:val="0"/>
          <w:szCs w:val="21"/>
        </w:rPr>
        <w:t xml:space="preserve">500 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强企业。</w:t>
      </w:r>
    </w:p>
    <w:p w14:paraId="5EED46F0" w14:textId="77777777" w:rsidR="00FA401B" w:rsidRDefault="004A73E7">
      <w:pPr>
        <w:widowControl/>
        <w:spacing w:line="336" w:lineRule="auto"/>
        <w:ind w:firstLine="420"/>
        <w:jc w:val="left"/>
        <w:rPr>
          <w:rFonts w:ascii="宋体" w:eastAsia="宋体" w:hAnsi="宋体" w:cs="宋体"/>
          <w:b/>
          <w:bCs/>
          <w:kern w:val="0"/>
          <w:szCs w:val="21"/>
          <w:lang w:eastAsia="zh-TW"/>
        </w:rPr>
      </w:pPr>
      <w:r>
        <w:rPr>
          <w:rFonts w:ascii="宋体" w:eastAsia="宋体" w:hAnsi="宋体" w:cs="宋体" w:hint="eastAsia"/>
          <w:kern w:val="0"/>
          <w:szCs w:val="21"/>
          <w:lang w:val="zh-TW" w:eastAsia="zh-TW"/>
        </w:rPr>
        <w:t>（</w:t>
      </w:r>
      <w:r>
        <w:rPr>
          <w:rFonts w:ascii="宋体" w:eastAsia="宋体" w:hAnsi="宋体" w:cs="宋体"/>
          <w:kern w:val="0"/>
          <w:szCs w:val="21"/>
          <w:lang w:val="zh-TW" w:eastAsia="zh-TW"/>
        </w:rPr>
        <w:t>中国区部分认证雇主一览：</w:t>
      </w:r>
      <w:hyperlink r:id="rId8" w:history="1">
        <w:r>
          <w:rPr>
            <w:rFonts w:ascii="宋体" w:eastAsia="宋体" w:hAnsi="宋体" w:cs="宋体"/>
            <w:kern w:val="0"/>
            <w:szCs w:val="21"/>
            <w:lang w:eastAsia="zh-TW"/>
          </w:rPr>
          <w:t>http://cn.accaglobal.com/employers/roll/roll.asp</w:t>
        </w:r>
      </w:hyperlink>
      <w:r>
        <w:rPr>
          <w:rFonts w:ascii="宋体" w:eastAsia="宋体" w:hAnsi="宋体" w:cs="宋体" w:hint="eastAsia"/>
          <w:kern w:val="0"/>
          <w:szCs w:val="21"/>
          <w:lang w:eastAsia="zh-TW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lang w:eastAsia="zh-TW"/>
        </w:rPr>
        <w:t>）</w:t>
      </w:r>
    </w:p>
    <w:p w14:paraId="4FC74CBD" w14:textId="77777777" w:rsidR="00FA401B" w:rsidRDefault="004A73E7">
      <w:pPr>
        <w:widowControl/>
        <w:spacing w:line="336" w:lineRule="auto"/>
        <w:jc w:val="left"/>
        <w:rPr>
          <w:rFonts w:ascii="宋体" w:eastAsia="宋体" w:hAnsi="宋体" w:cs="宋体"/>
          <w:kern w:val="0"/>
          <w:szCs w:val="21"/>
          <w:lang w:eastAsia="zh-TW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B1E518F" wp14:editId="052BD2D7">
            <wp:simplePos x="0" y="0"/>
            <wp:positionH relativeFrom="column">
              <wp:posOffset>1257935</wp:posOffset>
            </wp:positionH>
            <wp:positionV relativeFrom="paragraph">
              <wp:posOffset>123825</wp:posOffset>
            </wp:positionV>
            <wp:extent cx="2877185" cy="1698625"/>
            <wp:effectExtent l="12700" t="12700" r="24765" b="22225"/>
            <wp:wrapThrough wrapText="bothSides">
              <wp:wrapPolygon edited="0">
                <wp:start x="-95" y="-161"/>
                <wp:lineTo x="-95" y="21640"/>
                <wp:lineTo x="21500" y="21640"/>
                <wp:lineTo x="21500" y="-161"/>
                <wp:lineTo x="-95" y="-161"/>
              </wp:wrapPolygon>
            </wp:wrapThrough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698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BD7C98D" w14:textId="77777777" w:rsidR="00FA401B" w:rsidRDefault="00FA401B">
      <w:pPr>
        <w:spacing w:line="336" w:lineRule="auto"/>
        <w:ind w:firstLineChars="200" w:firstLine="420"/>
        <w:outlineLvl w:val="0"/>
        <w:rPr>
          <w:rFonts w:ascii="宋体" w:hAnsi="宋体" w:cs="宋体"/>
          <w:kern w:val="0"/>
          <w:szCs w:val="21"/>
          <w:lang w:eastAsia="zh-TW"/>
        </w:rPr>
      </w:pPr>
    </w:p>
    <w:p w14:paraId="105BE65D" w14:textId="77777777" w:rsidR="00FA401B" w:rsidRDefault="00FA401B">
      <w:pPr>
        <w:spacing w:line="336" w:lineRule="auto"/>
        <w:ind w:firstLineChars="200" w:firstLine="420"/>
        <w:outlineLvl w:val="0"/>
        <w:rPr>
          <w:rFonts w:ascii="宋体" w:hAnsi="宋体" w:cs="宋体"/>
          <w:kern w:val="0"/>
          <w:szCs w:val="21"/>
          <w:lang w:eastAsia="zh-TW"/>
        </w:rPr>
      </w:pPr>
    </w:p>
    <w:p w14:paraId="30A143D8" w14:textId="77777777" w:rsidR="00FA401B" w:rsidRDefault="00FA401B">
      <w:pPr>
        <w:spacing w:line="336" w:lineRule="auto"/>
        <w:ind w:firstLineChars="200" w:firstLine="420"/>
        <w:outlineLvl w:val="0"/>
        <w:rPr>
          <w:rFonts w:ascii="宋体" w:hAnsi="宋体" w:cs="宋体"/>
          <w:kern w:val="0"/>
          <w:szCs w:val="21"/>
          <w:lang w:eastAsia="zh-TW"/>
        </w:rPr>
      </w:pPr>
    </w:p>
    <w:p w14:paraId="35B488F1" w14:textId="77777777" w:rsidR="00FA401B" w:rsidRDefault="00FA401B"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 w14:paraId="69F6465D" w14:textId="77777777" w:rsidR="00FA401B" w:rsidRDefault="00FA401B"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 w14:paraId="27F63C32" w14:textId="77777777" w:rsidR="00FA401B" w:rsidRDefault="00FA401B"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 w14:paraId="2C701EE9" w14:textId="77777777" w:rsidR="00FA401B" w:rsidRDefault="004A73E7"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三、方向班费用</w:t>
      </w:r>
    </w:p>
    <w:p w14:paraId="645E94D4" w14:textId="77777777" w:rsidR="00FA401B" w:rsidRDefault="004A73E7">
      <w:pPr>
        <w:spacing w:line="336" w:lineRule="auto"/>
        <w:ind w:firstLineChars="200" w:firstLine="42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ACCA</w:t>
      </w:r>
      <w:r>
        <w:rPr>
          <w:rFonts w:ascii="宋体" w:hAnsi="宋体" w:cs="宋体" w:hint="eastAsia"/>
          <w:kern w:val="0"/>
          <w:szCs w:val="21"/>
        </w:rPr>
        <w:t>方向班不收取额外费用</w:t>
      </w:r>
      <w:r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ACCA</w:t>
      </w:r>
      <w:r>
        <w:rPr>
          <w:rFonts w:ascii="宋体" w:hAnsi="宋体" w:cs="宋体"/>
          <w:kern w:val="0"/>
          <w:szCs w:val="21"/>
        </w:rPr>
        <w:t>的注册费、年费、考试费（或免考申请费）等费用由学生</w:t>
      </w:r>
      <w:r>
        <w:rPr>
          <w:rFonts w:ascii="宋体" w:hAnsi="宋体" w:cs="宋体" w:hint="eastAsia"/>
          <w:kern w:val="0"/>
          <w:szCs w:val="21"/>
        </w:rPr>
        <w:t>自行</w:t>
      </w:r>
      <w:r>
        <w:rPr>
          <w:rFonts w:ascii="宋体" w:hAnsi="宋体" w:cs="宋体"/>
          <w:kern w:val="0"/>
          <w:szCs w:val="21"/>
        </w:rPr>
        <w:t>负担，并直接向</w:t>
      </w:r>
      <w:r>
        <w:rPr>
          <w:rFonts w:ascii="宋体" w:hAnsi="宋体" w:cs="宋体"/>
          <w:kern w:val="0"/>
          <w:szCs w:val="21"/>
        </w:rPr>
        <w:t>ACCA</w:t>
      </w:r>
      <w:r>
        <w:rPr>
          <w:rFonts w:ascii="宋体" w:hAnsi="宋体" w:cs="宋体" w:hint="eastAsia"/>
          <w:kern w:val="0"/>
          <w:szCs w:val="21"/>
        </w:rPr>
        <w:t>协会</w:t>
      </w:r>
      <w:r>
        <w:rPr>
          <w:rFonts w:ascii="宋体" w:hAnsi="宋体" w:cs="宋体"/>
          <w:kern w:val="0"/>
          <w:szCs w:val="21"/>
        </w:rPr>
        <w:t>缴纳，学校不参与收费。相关费用水平参考如下：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3240"/>
        <w:gridCol w:w="3375"/>
      </w:tblGrid>
      <w:tr w:rsidR="00FA401B" w14:paraId="5A22404B" w14:textId="77777777">
        <w:trPr>
          <w:trHeight w:val="471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806E19" w14:textId="77777777" w:rsidR="00FA401B" w:rsidRDefault="004A73E7">
            <w:pPr>
              <w:widowControl/>
              <w:jc w:val="center"/>
              <w:rPr>
                <w:rFonts w:ascii="黑体" w:eastAsia="黑体" w:hAnsi="微软雅黑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微软雅黑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0C69D5" w14:textId="77777777" w:rsidR="00FA401B" w:rsidRDefault="004A73E7">
            <w:pPr>
              <w:widowControl/>
              <w:jc w:val="center"/>
              <w:rPr>
                <w:rFonts w:ascii="黑体" w:eastAsia="黑体" w:hAnsi="微软雅黑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微软雅黑" w:cs="宋体" w:hint="eastAsia"/>
                <w:b/>
                <w:bCs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4E56C" w14:textId="77777777" w:rsidR="00FA401B" w:rsidRDefault="004A73E7">
            <w:pPr>
              <w:widowControl/>
              <w:jc w:val="center"/>
              <w:rPr>
                <w:rFonts w:ascii="黑体" w:eastAsia="黑体" w:hAnsi="微软雅黑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微软雅黑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A401B" w14:paraId="35A930D6" w14:textId="77777777">
        <w:trPr>
          <w:trHeight w:val="283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951D6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大连民族大学学费、住宿费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9581B7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按会计学专业学费标准执行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E36CD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如原录取专业收费低于会计学专业，入选学生需补足学费差额</w:t>
            </w:r>
          </w:p>
        </w:tc>
      </w:tr>
      <w:tr w:rsidR="00FA401B" w14:paraId="624AD3AB" w14:textId="77777777">
        <w:trPr>
          <w:trHeight w:val="283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35DD4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注册费；年费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F370EB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英镑；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3FDE95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第一次是注册费，以后每年缴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次年费（当年缴费按英国通知为准）</w:t>
            </w:r>
          </w:p>
        </w:tc>
      </w:tr>
      <w:tr w:rsidR="00FA401B" w14:paraId="1B33A690" w14:textId="77777777">
        <w:trPr>
          <w:trHeight w:val="552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A72348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考试或免考费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16B09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共缴费约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580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73DEB4" w14:textId="77777777" w:rsidR="00FA401B" w:rsidRDefault="004A7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考试费按当年考试门数缴纳</w:t>
            </w:r>
          </w:p>
        </w:tc>
      </w:tr>
    </w:tbl>
    <w:p w14:paraId="2789AFDD" w14:textId="77777777" w:rsidR="00FA401B" w:rsidRDefault="00FA401B">
      <w:pPr>
        <w:widowControl/>
        <w:spacing w:line="336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14:paraId="682C8B0C" w14:textId="77777777" w:rsidR="00FA401B" w:rsidRDefault="00FA401B">
      <w:pPr>
        <w:widowControl/>
        <w:spacing w:line="336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</w:p>
    <w:p w14:paraId="0FDF3C6E" w14:textId="77777777" w:rsidR="00FA401B" w:rsidRDefault="004A73E7">
      <w:pPr>
        <w:widowControl/>
        <w:spacing w:line="336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四、方向班选拔</w:t>
      </w:r>
    </w:p>
    <w:p w14:paraId="021DFF1D" w14:textId="40E37615" w:rsidR="00FA401B" w:rsidRDefault="004A73E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Cs w:val="21"/>
        </w:rPr>
      </w:pPr>
      <w:bookmarkStart w:id="3" w:name="_Hlk18071806"/>
      <w:r>
        <w:rPr>
          <w:rFonts w:ascii="宋体" w:eastAsia="宋体" w:hAnsi="宋体" w:cs="宋体" w:hint="eastAsia"/>
          <w:kern w:val="0"/>
          <w:szCs w:val="21"/>
        </w:rPr>
        <w:t>根据《大连民族大学本科生转专业管理办法（修订）》，国际商学院面向全校</w:t>
      </w:r>
      <w:r>
        <w:rPr>
          <w:rFonts w:ascii="宋体" w:eastAsia="宋体" w:hAnsi="宋体" w:cs="宋体" w:hint="eastAsia"/>
          <w:kern w:val="0"/>
          <w:szCs w:val="21"/>
        </w:rPr>
        <w:t>2022</w:t>
      </w:r>
      <w:r>
        <w:rPr>
          <w:rFonts w:ascii="宋体" w:eastAsia="宋体" w:hAnsi="宋体" w:cs="宋体" w:hint="eastAsia"/>
          <w:kern w:val="0"/>
          <w:szCs w:val="21"/>
        </w:rPr>
        <w:t>级学生选拔会计学专业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方向班，学生的考核将</w:t>
      </w:r>
      <w:r>
        <w:rPr>
          <w:rFonts w:ascii="宋体" w:hAnsi="宋体" w:cs="宋体"/>
          <w:kern w:val="0"/>
          <w:szCs w:val="21"/>
        </w:rPr>
        <w:t>在</w:t>
      </w:r>
      <w:r>
        <w:rPr>
          <w:rFonts w:ascii="宋体" w:hAnsi="宋体" w:cs="宋体" w:hint="eastAsia"/>
          <w:kern w:val="0"/>
          <w:szCs w:val="21"/>
        </w:rPr>
        <w:t>近期</w:t>
      </w:r>
      <w:r>
        <w:rPr>
          <w:rFonts w:ascii="宋体" w:hAnsi="宋体" w:cs="宋体"/>
          <w:kern w:val="0"/>
          <w:szCs w:val="21"/>
        </w:rPr>
        <w:t>举行。</w:t>
      </w:r>
      <w:r>
        <w:rPr>
          <w:rFonts w:ascii="宋体" w:eastAsia="宋体" w:hAnsi="宋体" w:cs="宋体" w:hint="eastAsia"/>
          <w:kern w:val="0"/>
          <w:szCs w:val="21"/>
        </w:rPr>
        <w:t>考核主要</w:t>
      </w:r>
      <w:r w:rsidR="002F2EBB">
        <w:rPr>
          <w:rFonts w:ascii="宋体" w:eastAsia="宋体" w:hAnsi="宋体" w:cs="宋体" w:hint="eastAsia"/>
          <w:kern w:val="0"/>
          <w:szCs w:val="21"/>
        </w:rPr>
        <w:t>为</w:t>
      </w:r>
      <w:r>
        <w:rPr>
          <w:rFonts w:ascii="宋体" w:eastAsia="宋体" w:hAnsi="宋体" w:cs="宋体" w:hint="eastAsia"/>
          <w:kern w:val="0"/>
          <w:szCs w:val="21"/>
        </w:rPr>
        <w:t>面试形式，面试着重考核学生的英语能力及综合素质。通过选拔的学生将通过转专业进入会计学专业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方向班学习。</w:t>
      </w:r>
      <w:r>
        <w:rPr>
          <w:rFonts w:ascii="宋体" w:eastAsia="宋体" w:hAnsi="宋体" w:cs="宋体" w:hint="eastAsia"/>
          <w:kern w:val="0"/>
          <w:szCs w:val="21"/>
        </w:rPr>
        <w:t> </w:t>
      </w:r>
    </w:p>
    <w:p w14:paraId="53D0A306" w14:textId="77777777" w:rsidR="00FA401B" w:rsidRDefault="004A73E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  <w:shd w:val="pct10" w:color="auto" w:fill="FFFFFF"/>
        </w:rPr>
        <w:t>报名资格</w:t>
      </w:r>
      <w:r>
        <w:rPr>
          <w:rFonts w:ascii="宋体" w:eastAsia="宋体" w:hAnsi="宋体" w:cs="宋体" w:hint="eastAsia"/>
          <w:kern w:val="0"/>
          <w:szCs w:val="21"/>
          <w:shd w:val="pct10" w:color="auto" w:fill="FFFFFF"/>
        </w:rPr>
        <w:t>：凡是符合《</w:t>
      </w:r>
      <w:r>
        <w:rPr>
          <w:rFonts w:ascii="宋体" w:eastAsia="宋体" w:hAnsi="宋体" w:cs="宋体" w:hint="eastAsia"/>
          <w:kern w:val="0"/>
          <w:szCs w:val="21"/>
        </w:rPr>
        <w:t>大连民族大学本科生转专业管理办法（修订）</w:t>
      </w:r>
      <w:r>
        <w:rPr>
          <w:rFonts w:ascii="宋体" w:eastAsia="宋体" w:hAnsi="宋体" w:cs="宋体" w:hint="eastAsia"/>
          <w:kern w:val="0"/>
          <w:szCs w:val="21"/>
          <w:shd w:val="pct10" w:color="auto" w:fill="FFFFFF"/>
        </w:rPr>
        <w:t>》中转专业基本条件的</w:t>
      </w:r>
      <w:r>
        <w:rPr>
          <w:rFonts w:ascii="宋体" w:eastAsia="宋体" w:hAnsi="宋体" w:cs="宋体" w:hint="eastAsia"/>
          <w:kern w:val="0"/>
          <w:szCs w:val="21"/>
          <w:shd w:val="pct10" w:color="auto" w:fill="FFFFFF"/>
        </w:rPr>
        <w:t>2022</w:t>
      </w:r>
      <w:r>
        <w:rPr>
          <w:rFonts w:ascii="宋体" w:eastAsia="宋体" w:hAnsi="宋体" w:cs="宋体" w:hint="eastAsia"/>
          <w:kern w:val="0"/>
          <w:szCs w:val="21"/>
        </w:rPr>
        <w:t>级学生，且高考英语成绩达到</w:t>
      </w:r>
      <w:r>
        <w:rPr>
          <w:rFonts w:ascii="宋体" w:eastAsia="宋体" w:hAnsi="宋体" w:cs="宋体" w:hint="eastAsia"/>
          <w:kern w:val="0"/>
          <w:szCs w:val="21"/>
        </w:rPr>
        <w:t>120</w:t>
      </w:r>
      <w:r>
        <w:rPr>
          <w:rFonts w:ascii="宋体" w:eastAsia="宋体" w:hAnsi="宋体" w:cs="宋体" w:hint="eastAsia"/>
          <w:kern w:val="0"/>
          <w:szCs w:val="21"/>
        </w:rPr>
        <w:t>分的，可以报名，参加面试选拔。</w:t>
      </w:r>
    </w:p>
    <w:p w14:paraId="060AEC76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转专业基本条件</w:t>
      </w:r>
      <w:r>
        <w:rPr>
          <w:rFonts w:ascii="宋体" w:eastAsia="宋体" w:hAnsi="宋体" w:cs="宋体" w:hint="eastAsia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、普通全日制本科生；</w:t>
      </w:r>
    </w:p>
    <w:p w14:paraId="6C1E15B9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2</w:t>
      </w:r>
      <w:r>
        <w:rPr>
          <w:rFonts w:ascii="宋体" w:eastAsia="宋体" w:hAnsi="宋体" w:cs="宋体" w:hint="eastAsia"/>
          <w:kern w:val="0"/>
          <w:szCs w:val="21"/>
        </w:rPr>
        <w:t>、遵纪守法，品行端正；</w:t>
      </w:r>
    </w:p>
    <w:p w14:paraId="47E7C69E" w14:textId="7420094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有以下条件之一不得报名：</w:t>
      </w:r>
    </w:p>
    <w:p w14:paraId="21BB6BE0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1. </w:t>
      </w:r>
      <w:r>
        <w:rPr>
          <w:rFonts w:ascii="宋体" w:eastAsia="宋体" w:hAnsi="宋体" w:cs="宋体" w:hint="eastAsia"/>
          <w:kern w:val="0"/>
          <w:szCs w:val="21"/>
        </w:rPr>
        <w:t>受到纪律处分尚未解除的；</w:t>
      </w:r>
    </w:p>
    <w:p w14:paraId="2E262700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2. </w:t>
      </w:r>
      <w:r>
        <w:rPr>
          <w:rFonts w:ascii="宋体" w:eastAsia="宋体" w:hAnsi="宋体" w:cs="宋体" w:hint="eastAsia"/>
          <w:kern w:val="0"/>
          <w:szCs w:val="21"/>
        </w:rPr>
        <w:t>艺术类、普通类二者之间跨类别的；</w:t>
      </w:r>
    </w:p>
    <w:p w14:paraId="08B2EE70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3. </w:t>
      </w:r>
      <w:r>
        <w:rPr>
          <w:rFonts w:ascii="宋体" w:eastAsia="宋体" w:hAnsi="宋体" w:cs="宋体" w:hint="eastAsia"/>
          <w:kern w:val="0"/>
          <w:szCs w:val="21"/>
        </w:rPr>
        <w:t>以特殊形式招生录取的；</w:t>
      </w:r>
    </w:p>
    <w:p w14:paraId="53720472" w14:textId="77777777" w:rsidR="00FA401B" w:rsidRDefault="004A73E7"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4. </w:t>
      </w:r>
      <w:r>
        <w:rPr>
          <w:rFonts w:ascii="宋体" w:eastAsia="宋体" w:hAnsi="宋体" w:cs="宋体" w:hint="eastAsia"/>
          <w:kern w:val="0"/>
          <w:szCs w:val="21"/>
        </w:rPr>
        <w:t>国家有相关规定或录取前与学校有明确规定的。</w:t>
      </w:r>
    </w:p>
    <w:p w14:paraId="4EDD1B6B" w14:textId="4197558B" w:rsidR="00521C1E" w:rsidRPr="00521C1E" w:rsidRDefault="004A73E7" w:rsidP="00521C1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b/>
          <w:kern w:val="0"/>
          <w:szCs w:val="21"/>
          <w:shd w:val="pct10" w:color="auto" w:fill="FFFFFF"/>
        </w:rPr>
      </w:pPr>
      <w:r w:rsidRPr="00521C1E">
        <w:rPr>
          <w:rFonts w:ascii="宋体" w:eastAsia="宋体" w:hAnsi="宋体" w:cs="宋体" w:hint="eastAsia"/>
          <w:b/>
          <w:kern w:val="0"/>
          <w:szCs w:val="21"/>
          <w:shd w:val="pct10" w:color="auto" w:fill="FFFFFF"/>
        </w:rPr>
        <w:t>考核方式：</w:t>
      </w:r>
      <w:r w:rsidR="00521C1E" w:rsidRPr="00521C1E">
        <w:rPr>
          <w:rFonts w:ascii="宋体" w:eastAsia="宋体" w:hAnsi="宋体" w:cs="宋体" w:hint="eastAsia"/>
          <w:bCs/>
          <w:kern w:val="0"/>
          <w:szCs w:val="21"/>
          <w:shd w:val="pct10" w:color="auto" w:fill="FFFFFF"/>
        </w:rPr>
        <w:t>参加面试同学的最终成绩构成：总成绩=基础学习成绩（50%）+面试成绩（50%）</w:t>
      </w:r>
      <w:r w:rsidR="00521C1E">
        <w:rPr>
          <w:rFonts w:ascii="宋体" w:eastAsia="宋体" w:hAnsi="宋体" w:cs="宋体" w:hint="eastAsia"/>
          <w:bCs/>
          <w:kern w:val="0"/>
          <w:szCs w:val="21"/>
          <w:shd w:val="pct10" w:color="auto" w:fill="FFFFFF"/>
        </w:rPr>
        <w:t>。</w:t>
      </w:r>
      <w:r w:rsidR="00521C1E" w:rsidRPr="00521C1E">
        <w:rPr>
          <w:rFonts w:ascii="宋体" w:eastAsia="宋体" w:hAnsi="宋体" w:cs="宋体" w:hint="eastAsia"/>
          <w:bCs/>
          <w:kern w:val="0"/>
          <w:szCs w:val="21"/>
          <w:shd w:val="pct10" w:color="auto" w:fill="FFFFFF"/>
        </w:rPr>
        <w:t>基础学习成绩占总成绩的50%，依据第一学期的学习绩点。面试成绩占总成绩的50%，面试内容为英语测试和综合素质，主要是逻辑思维能力测试。</w:t>
      </w:r>
    </w:p>
    <w:p w14:paraId="14879F2D" w14:textId="1371BF6D" w:rsidR="00FA401B" w:rsidRDefault="004A73E7" w:rsidP="00521C1E">
      <w:pPr>
        <w:widowControl/>
        <w:spacing w:before="100" w:beforeAutospacing="1" w:after="100" w:afterAutospacing="1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  <w:shd w:val="pct10" w:color="auto" w:fill="FFFFFF"/>
        </w:rPr>
        <w:t>录取原则：</w:t>
      </w:r>
      <w:r>
        <w:rPr>
          <w:rFonts w:ascii="宋体" w:eastAsia="宋体" w:hAnsi="宋体" w:cs="宋体" w:hint="eastAsia"/>
          <w:kern w:val="0"/>
          <w:szCs w:val="21"/>
          <w:shd w:val="pct10" w:color="auto" w:fill="FFFFFF"/>
        </w:rPr>
        <w:t>根据学生总成绩由高到低依次录取，录取名单经教务处审核后将统一发布。录取名单发布后一周为犹豫期，一周内学生可提交放弃手续，无异议学生将在返校报到后，办理学籍异动手续。已录取学生将不得参加后续的转专业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  </w:t>
      </w:r>
    </w:p>
    <w:p w14:paraId="31F237E6" w14:textId="77777777" w:rsidR="00FA401B" w:rsidRDefault="004A73E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欢迎有志于成为财经管理行业精英的</w:t>
      </w:r>
      <w:r>
        <w:rPr>
          <w:rFonts w:ascii="宋体" w:eastAsia="宋体" w:hAnsi="宋体" w:cs="宋体" w:hint="eastAsia"/>
          <w:kern w:val="0"/>
          <w:szCs w:val="21"/>
        </w:rPr>
        <w:t>2022</w:t>
      </w:r>
      <w:r>
        <w:rPr>
          <w:rFonts w:ascii="宋体" w:eastAsia="宋体" w:hAnsi="宋体" w:cs="宋体" w:hint="eastAsia"/>
          <w:kern w:val="0"/>
          <w:szCs w:val="21"/>
        </w:rPr>
        <w:t>级学子参加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方向班的选拔，详细情况可</w:t>
      </w:r>
      <w:r>
        <w:rPr>
          <w:rFonts w:ascii="宋体" w:eastAsia="宋体" w:hAnsi="宋体" w:cs="宋体" w:hint="eastAsia"/>
          <w:kern w:val="0"/>
          <w:szCs w:val="21"/>
        </w:rPr>
        <w:t>登录大连民族大学教务处网站（</w:t>
      </w:r>
      <w:r>
        <w:rPr>
          <w:rFonts w:ascii="宋体" w:eastAsia="宋体" w:hAnsi="宋体" w:cs="宋体"/>
          <w:kern w:val="0"/>
          <w:szCs w:val="21"/>
        </w:rPr>
        <w:t>https://jw.dlnu.edu.cn/</w:t>
      </w:r>
      <w:r>
        <w:rPr>
          <w:rFonts w:hint="eastAsia"/>
        </w:rPr>
        <w:t>）</w:t>
      </w:r>
      <w:r>
        <w:rPr>
          <w:rFonts w:ascii="宋体" w:eastAsia="宋体" w:hAnsi="宋体" w:cs="宋体" w:hint="eastAsia"/>
          <w:kern w:val="0"/>
          <w:szCs w:val="21"/>
        </w:rPr>
        <w:t>查询。符合报名条件并有意参加选拔的同学，请登录上述网站下载报名表，发送到指定邮箱</w:t>
      </w:r>
      <w:hyperlink r:id="rId10" w:history="1">
        <w:r>
          <w:rPr>
            <w:b/>
            <w:sz w:val="24"/>
            <w:szCs w:val="24"/>
          </w:rPr>
          <w:t>acca@dlnu.edu.cn</w:t>
        </w:r>
      </w:hyperlink>
      <w:r>
        <w:rPr>
          <w:rFonts w:ascii="宋体" w:eastAsia="宋体" w:hAnsi="宋体" w:cs="宋体" w:hint="eastAsia"/>
          <w:kern w:val="0"/>
          <w:szCs w:val="21"/>
        </w:rPr>
        <w:t>，报名截止时间为</w:t>
      </w:r>
      <w:r>
        <w:rPr>
          <w:rFonts w:ascii="宋体" w:eastAsia="宋体" w:hAnsi="宋体" w:cs="宋体" w:hint="eastAsia"/>
          <w:kern w:val="0"/>
          <w:szCs w:val="21"/>
        </w:rPr>
        <w:t>2023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>
        <w:rPr>
          <w:rFonts w:ascii="宋体" w:eastAsia="宋体" w:hAnsi="宋体" w:cs="宋体" w:hint="eastAsia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月</w:t>
      </w:r>
      <w:r>
        <w:rPr>
          <w:rFonts w:ascii="宋体" w:eastAsia="宋体" w:hAnsi="宋体" w:cs="宋体" w:hint="eastAsia"/>
          <w:kern w:val="0"/>
          <w:szCs w:val="21"/>
        </w:rPr>
        <w:t>12</w:t>
      </w:r>
      <w:r>
        <w:rPr>
          <w:rFonts w:ascii="宋体" w:eastAsia="宋体" w:hAnsi="宋体" w:cs="宋体" w:hint="eastAsia"/>
          <w:kern w:val="0"/>
          <w:szCs w:val="21"/>
        </w:rPr>
        <w:t>日（周日）</w:t>
      </w:r>
      <w:r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 w:hint="eastAsia"/>
          <w:kern w:val="0"/>
          <w:szCs w:val="21"/>
        </w:rPr>
        <w:t>时。报名完毕后将由学校负责老师通知学生具体考核事宜。期待经过师生及家长的共同努力，大连民族大学会计学专业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方向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班培养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的学生能够在国际经济大舞台上展现自己的风采！</w:t>
      </w:r>
      <w:r>
        <w:rPr>
          <w:rFonts w:ascii="宋体" w:eastAsia="宋体" w:hAnsi="宋体" w:cs="宋体" w:hint="eastAsia"/>
          <w:kern w:val="0"/>
          <w:szCs w:val="21"/>
        </w:rPr>
        <w:t>     </w:t>
      </w:r>
    </w:p>
    <w:p w14:paraId="34572F06" w14:textId="27F49C21" w:rsidR="00FA401B" w:rsidRDefault="004A73E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国际商学院</w:t>
      </w:r>
      <w:r>
        <w:rPr>
          <w:rFonts w:ascii="宋体" w:eastAsia="宋体" w:hAnsi="宋体" w:cs="宋体" w:hint="eastAsia"/>
          <w:kern w:val="0"/>
          <w:szCs w:val="21"/>
        </w:rPr>
        <w:t>ACCA</w:t>
      </w:r>
      <w:r>
        <w:rPr>
          <w:rFonts w:ascii="宋体" w:eastAsia="宋体" w:hAnsi="宋体" w:cs="宋体" w:hint="eastAsia"/>
          <w:kern w:val="0"/>
          <w:szCs w:val="21"/>
        </w:rPr>
        <w:t>项目中心咨询老师：</w:t>
      </w:r>
      <w:r>
        <w:rPr>
          <w:rFonts w:ascii="宋体" w:eastAsia="宋体" w:hAnsi="宋体" w:cs="宋体" w:hint="eastAsia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</w:rPr>
        <w:t>张老师：</w:t>
      </w:r>
      <w:r>
        <w:rPr>
          <w:rFonts w:ascii="宋体" w:eastAsia="宋体" w:hAnsi="宋体" w:cs="宋体" w:hint="eastAsia"/>
          <w:kern w:val="0"/>
          <w:szCs w:val="21"/>
        </w:rPr>
        <w:t xml:space="preserve">13889574386 </w:t>
      </w:r>
      <w:r>
        <w:rPr>
          <w:rFonts w:ascii="宋体" w:eastAsia="宋体" w:hAnsi="宋体" w:cs="宋体" w:hint="eastAsia"/>
          <w:kern w:val="0"/>
          <w:szCs w:val="21"/>
        </w:rPr>
        <w:t>刘老师：</w:t>
      </w:r>
      <w:r w:rsidR="0001646B" w:rsidRPr="00521C1E">
        <w:rPr>
          <w:rFonts w:ascii="宋体" w:eastAsia="宋体" w:hAnsi="宋体" w:cs="宋体"/>
          <w:kern w:val="0"/>
          <w:szCs w:val="21"/>
        </w:rPr>
        <w:t>18766502950</w:t>
      </w:r>
      <w:r w:rsidRPr="00521C1E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14:paraId="0FB3C310" w14:textId="77777777" w:rsidR="00FA401B" w:rsidRDefault="004A73E7">
      <w:pPr>
        <w:widowControl/>
        <w:ind w:firstLine="420"/>
        <w:jc w:val="left"/>
        <w:rPr>
          <w:rStyle w:val="a9"/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                          </w:t>
      </w:r>
      <w:r>
        <w:rPr>
          <w:rFonts w:ascii="宋体" w:eastAsia="宋体" w:hAnsi="宋体" w:cs="宋体" w:hint="eastAsia"/>
          <w:kern w:val="0"/>
          <w:szCs w:val="21"/>
        </w:rPr>
        <w:t>报名表：</w:t>
      </w:r>
      <w:hyperlink r:id="rId11" w:history="1">
        <w:r>
          <w:rPr>
            <w:rStyle w:val="a9"/>
            <w:rFonts w:ascii="宋体" w:eastAsia="宋体" w:hAnsi="宋体" w:cs="宋体"/>
            <w:kern w:val="0"/>
            <w:szCs w:val="21"/>
          </w:rPr>
          <w:t>20</w:t>
        </w:r>
        <w:r>
          <w:rPr>
            <w:rStyle w:val="a9"/>
            <w:rFonts w:ascii="宋体" w:eastAsia="宋体" w:hAnsi="宋体" w:cs="宋体" w:hint="eastAsia"/>
            <w:kern w:val="0"/>
            <w:szCs w:val="21"/>
          </w:rPr>
          <w:t>22</w:t>
        </w:r>
        <w:r>
          <w:rPr>
            <w:rStyle w:val="a9"/>
            <w:rFonts w:ascii="宋体" w:eastAsia="宋体" w:hAnsi="宋体" w:cs="宋体"/>
            <w:kern w:val="0"/>
            <w:szCs w:val="21"/>
          </w:rPr>
          <w:t>级</w:t>
        </w:r>
        <w:r>
          <w:rPr>
            <w:rStyle w:val="a9"/>
            <w:rFonts w:ascii="宋体" w:eastAsia="宋体" w:hAnsi="宋体" w:cs="宋体"/>
            <w:kern w:val="0"/>
            <w:szCs w:val="21"/>
          </w:rPr>
          <w:t>ACCA</w:t>
        </w:r>
        <w:r>
          <w:rPr>
            <w:rStyle w:val="a9"/>
            <w:rFonts w:ascii="宋体" w:eastAsia="宋体" w:hAnsi="宋体" w:cs="宋体"/>
            <w:kern w:val="0"/>
            <w:szCs w:val="21"/>
          </w:rPr>
          <w:t>方向班报名表</w:t>
        </w:r>
        <w:r>
          <w:rPr>
            <w:rStyle w:val="a9"/>
            <w:rFonts w:ascii="宋体" w:eastAsia="宋体" w:hAnsi="宋体" w:cs="宋体"/>
            <w:kern w:val="0"/>
            <w:szCs w:val="21"/>
          </w:rPr>
          <w:t>.</w:t>
        </w:r>
        <w:proofErr w:type="gramStart"/>
        <w:r>
          <w:rPr>
            <w:rStyle w:val="a9"/>
            <w:rFonts w:ascii="宋体" w:eastAsia="宋体" w:hAnsi="宋体" w:cs="宋体"/>
            <w:kern w:val="0"/>
            <w:szCs w:val="21"/>
          </w:rPr>
          <w:t>doc</w:t>
        </w:r>
        <w:proofErr w:type="gramEnd"/>
      </w:hyperlink>
    </w:p>
    <w:p w14:paraId="7E4EF408" w14:textId="77777777" w:rsidR="00FA401B" w:rsidRDefault="00FA401B">
      <w:pPr>
        <w:widowControl/>
        <w:ind w:firstLine="420"/>
        <w:jc w:val="left"/>
        <w:rPr>
          <w:rStyle w:val="a9"/>
          <w:rFonts w:ascii="宋体" w:eastAsia="宋体" w:hAnsi="宋体" w:cs="宋体"/>
          <w:kern w:val="0"/>
          <w:szCs w:val="21"/>
        </w:rPr>
      </w:pPr>
    </w:p>
    <w:p w14:paraId="0C2C8783" w14:textId="608C67E8" w:rsidR="00FA401B" w:rsidRDefault="004A73E7" w:rsidP="0001646B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国际商学院</w:t>
      </w:r>
    </w:p>
    <w:p w14:paraId="23576730" w14:textId="77777777" w:rsidR="00FA401B" w:rsidRDefault="004A73E7">
      <w:pPr>
        <w:ind w:firstLineChars="3100" w:firstLine="6510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bookmarkEnd w:id="3"/>
    </w:p>
    <w:sectPr w:rsidR="00FA401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60DE9" w14:textId="77777777" w:rsidR="004A73E7" w:rsidRDefault="004A73E7" w:rsidP="002213BD">
      <w:r>
        <w:separator/>
      </w:r>
    </w:p>
  </w:endnote>
  <w:endnote w:type="continuationSeparator" w:id="0">
    <w:p w14:paraId="69257BCD" w14:textId="77777777" w:rsidR="004A73E7" w:rsidRDefault="004A73E7" w:rsidP="0022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6198" w14:textId="77777777" w:rsidR="004A73E7" w:rsidRDefault="004A73E7" w:rsidP="002213BD">
      <w:r>
        <w:separator/>
      </w:r>
    </w:p>
  </w:footnote>
  <w:footnote w:type="continuationSeparator" w:id="0">
    <w:p w14:paraId="4BEE08F8" w14:textId="77777777" w:rsidR="004A73E7" w:rsidRDefault="004A73E7" w:rsidP="0022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N2UwODU1OGEwZWQ4ZTllM2ZlNDZlYzA2N2FiMDUifQ=="/>
  </w:docVars>
  <w:rsids>
    <w:rsidRoot w:val="005E01F2"/>
    <w:rsid w:val="00001DA8"/>
    <w:rsid w:val="0001646B"/>
    <w:rsid w:val="00017947"/>
    <w:rsid w:val="00027907"/>
    <w:rsid w:val="000348DB"/>
    <w:rsid w:val="0004545E"/>
    <w:rsid w:val="00047770"/>
    <w:rsid w:val="00073AE4"/>
    <w:rsid w:val="000830B2"/>
    <w:rsid w:val="00087173"/>
    <w:rsid w:val="00092932"/>
    <w:rsid w:val="00096E03"/>
    <w:rsid w:val="000D22E9"/>
    <w:rsid w:val="001270B9"/>
    <w:rsid w:val="00131ACB"/>
    <w:rsid w:val="00137E2E"/>
    <w:rsid w:val="001404BA"/>
    <w:rsid w:val="00143D61"/>
    <w:rsid w:val="0014665D"/>
    <w:rsid w:val="00157039"/>
    <w:rsid w:val="001B1B3A"/>
    <w:rsid w:val="001B69BB"/>
    <w:rsid w:val="0021369E"/>
    <w:rsid w:val="002213BD"/>
    <w:rsid w:val="0022571F"/>
    <w:rsid w:val="00227ECA"/>
    <w:rsid w:val="00280D44"/>
    <w:rsid w:val="002B162C"/>
    <w:rsid w:val="002C49BD"/>
    <w:rsid w:val="002D5EE6"/>
    <w:rsid w:val="002F2EBB"/>
    <w:rsid w:val="00304BDF"/>
    <w:rsid w:val="00321DFD"/>
    <w:rsid w:val="003532E4"/>
    <w:rsid w:val="00360EDA"/>
    <w:rsid w:val="00366CD8"/>
    <w:rsid w:val="00367F62"/>
    <w:rsid w:val="003A3DF8"/>
    <w:rsid w:val="003D5BA2"/>
    <w:rsid w:val="0040717F"/>
    <w:rsid w:val="00416068"/>
    <w:rsid w:val="00421201"/>
    <w:rsid w:val="0043133C"/>
    <w:rsid w:val="0046119B"/>
    <w:rsid w:val="00471FEB"/>
    <w:rsid w:val="00482405"/>
    <w:rsid w:val="004A45E8"/>
    <w:rsid w:val="004A633E"/>
    <w:rsid w:val="004A73E7"/>
    <w:rsid w:val="004E1B4E"/>
    <w:rsid w:val="00500C43"/>
    <w:rsid w:val="005130FD"/>
    <w:rsid w:val="00521C1E"/>
    <w:rsid w:val="0053011D"/>
    <w:rsid w:val="005352EB"/>
    <w:rsid w:val="005532F5"/>
    <w:rsid w:val="00564149"/>
    <w:rsid w:val="00576A90"/>
    <w:rsid w:val="00591144"/>
    <w:rsid w:val="005A2498"/>
    <w:rsid w:val="005A7ADA"/>
    <w:rsid w:val="005E01F2"/>
    <w:rsid w:val="005F7F9E"/>
    <w:rsid w:val="00603911"/>
    <w:rsid w:val="00620585"/>
    <w:rsid w:val="006222FE"/>
    <w:rsid w:val="00644CF6"/>
    <w:rsid w:val="006505F9"/>
    <w:rsid w:val="00683A42"/>
    <w:rsid w:val="006864DB"/>
    <w:rsid w:val="006B5B1D"/>
    <w:rsid w:val="006C239B"/>
    <w:rsid w:val="006D0964"/>
    <w:rsid w:val="006E52EC"/>
    <w:rsid w:val="006F3B4E"/>
    <w:rsid w:val="007547B0"/>
    <w:rsid w:val="007A556F"/>
    <w:rsid w:val="007B22ED"/>
    <w:rsid w:val="007B5EBA"/>
    <w:rsid w:val="007C4E3D"/>
    <w:rsid w:val="007D4E41"/>
    <w:rsid w:val="0082726F"/>
    <w:rsid w:val="00842B22"/>
    <w:rsid w:val="008432F4"/>
    <w:rsid w:val="008A28E2"/>
    <w:rsid w:val="008A574A"/>
    <w:rsid w:val="008A5E30"/>
    <w:rsid w:val="008E109D"/>
    <w:rsid w:val="008E44A1"/>
    <w:rsid w:val="008F3493"/>
    <w:rsid w:val="00907FD9"/>
    <w:rsid w:val="00916870"/>
    <w:rsid w:val="00941322"/>
    <w:rsid w:val="00944C46"/>
    <w:rsid w:val="0095409D"/>
    <w:rsid w:val="0095792F"/>
    <w:rsid w:val="0096199C"/>
    <w:rsid w:val="00965F5E"/>
    <w:rsid w:val="00971D0D"/>
    <w:rsid w:val="00972A91"/>
    <w:rsid w:val="009856F1"/>
    <w:rsid w:val="009B537F"/>
    <w:rsid w:val="009F28A9"/>
    <w:rsid w:val="00A36409"/>
    <w:rsid w:val="00A40FCD"/>
    <w:rsid w:val="00A4277D"/>
    <w:rsid w:val="00A66A0D"/>
    <w:rsid w:val="00A80851"/>
    <w:rsid w:val="00AA76C4"/>
    <w:rsid w:val="00AB4B63"/>
    <w:rsid w:val="00AC2C37"/>
    <w:rsid w:val="00B14E9C"/>
    <w:rsid w:val="00B4130B"/>
    <w:rsid w:val="00B47017"/>
    <w:rsid w:val="00B81BAC"/>
    <w:rsid w:val="00B83CD4"/>
    <w:rsid w:val="00B978B1"/>
    <w:rsid w:val="00B97FAD"/>
    <w:rsid w:val="00BA2C81"/>
    <w:rsid w:val="00BC3911"/>
    <w:rsid w:val="00BD453C"/>
    <w:rsid w:val="00BF29C6"/>
    <w:rsid w:val="00C121BD"/>
    <w:rsid w:val="00C1258B"/>
    <w:rsid w:val="00C2148B"/>
    <w:rsid w:val="00C33898"/>
    <w:rsid w:val="00C4441D"/>
    <w:rsid w:val="00C45934"/>
    <w:rsid w:val="00C541AA"/>
    <w:rsid w:val="00C61328"/>
    <w:rsid w:val="00C82644"/>
    <w:rsid w:val="00C92F87"/>
    <w:rsid w:val="00CB1D34"/>
    <w:rsid w:val="00CE1E2F"/>
    <w:rsid w:val="00CF77AA"/>
    <w:rsid w:val="00CF79FD"/>
    <w:rsid w:val="00D012D1"/>
    <w:rsid w:val="00D43074"/>
    <w:rsid w:val="00D51147"/>
    <w:rsid w:val="00D821E5"/>
    <w:rsid w:val="00D95949"/>
    <w:rsid w:val="00DB57A3"/>
    <w:rsid w:val="00DC3CE2"/>
    <w:rsid w:val="00DD3264"/>
    <w:rsid w:val="00DE5232"/>
    <w:rsid w:val="00E04C6F"/>
    <w:rsid w:val="00E069F2"/>
    <w:rsid w:val="00E13E9B"/>
    <w:rsid w:val="00E279BE"/>
    <w:rsid w:val="00E45E4E"/>
    <w:rsid w:val="00E50EB1"/>
    <w:rsid w:val="00E71949"/>
    <w:rsid w:val="00E84585"/>
    <w:rsid w:val="00E85A14"/>
    <w:rsid w:val="00EC4CB8"/>
    <w:rsid w:val="00EC7CA9"/>
    <w:rsid w:val="00EE5AA8"/>
    <w:rsid w:val="00F06A3A"/>
    <w:rsid w:val="00F10251"/>
    <w:rsid w:val="00F27DAE"/>
    <w:rsid w:val="00F65434"/>
    <w:rsid w:val="00F74AA8"/>
    <w:rsid w:val="00FA3B96"/>
    <w:rsid w:val="00FA401B"/>
    <w:rsid w:val="00FC1F66"/>
    <w:rsid w:val="00FD1D30"/>
    <w:rsid w:val="028870F7"/>
    <w:rsid w:val="0AEE2D5F"/>
    <w:rsid w:val="0BB47D0D"/>
    <w:rsid w:val="0EBF6301"/>
    <w:rsid w:val="1079111A"/>
    <w:rsid w:val="141B4AC5"/>
    <w:rsid w:val="157B4C6E"/>
    <w:rsid w:val="1B495338"/>
    <w:rsid w:val="223E104F"/>
    <w:rsid w:val="24E83578"/>
    <w:rsid w:val="2C1A3930"/>
    <w:rsid w:val="2CC719E2"/>
    <w:rsid w:val="311D2EA9"/>
    <w:rsid w:val="37820171"/>
    <w:rsid w:val="3AC4735C"/>
    <w:rsid w:val="3C9A5CBB"/>
    <w:rsid w:val="3FBA27B9"/>
    <w:rsid w:val="426041F6"/>
    <w:rsid w:val="448843D9"/>
    <w:rsid w:val="4507685A"/>
    <w:rsid w:val="4ECA07C4"/>
    <w:rsid w:val="52447B49"/>
    <w:rsid w:val="5E354A53"/>
    <w:rsid w:val="5E3E0734"/>
    <w:rsid w:val="62366AF8"/>
    <w:rsid w:val="62575940"/>
    <w:rsid w:val="672D1086"/>
    <w:rsid w:val="6BC10558"/>
    <w:rsid w:val="6DB80E6C"/>
    <w:rsid w:val="6E956CF0"/>
    <w:rsid w:val="70C4527F"/>
    <w:rsid w:val="78316A49"/>
    <w:rsid w:val="79CD1887"/>
    <w:rsid w:val="7A0B665E"/>
    <w:rsid w:val="7C8A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A0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ind w:left="120"/>
      <w:outlineLvl w:val="0"/>
    </w:pPr>
    <w:rPr>
      <w:rFonts w:ascii="宋体" w:hAnsi="宋体" w:cs="宋体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ind w:left="120"/>
    </w:pPr>
    <w:rPr>
      <w:rFonts w:ascii="宋体" w:hAnsi="宋体" w:cs="宋体"/>
      <w:color w:val="000000"/>
      <w:sz w:val="22"/>
      <w:szCs w:val="22"/>
      <w:u w:color="00000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intro1">
    <w:name w:val="intro1"/>
    <w:basedOn w:val="a"/>
    <w:qFormat/>
    <w:pPr>
      <w:widowControl/>
      <w:spacing w:before="100" w:beforeAutospacing="1" w:line="360" w:lineRule="auto"/>
      <w:jc w:val="left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customStyle="1" w:styleId="intro2">
    <w:name w:val="intro2"/>
    <w:basedOn w:val="a"/>
    <w:qFormat/>
    <w:pPr>
      <w:widowControl/>
      <w:spacing w:before="75" w:after="75" w:line="360" w:lineRule="auto"/>
      <w:jc w:val="left"/>
    </w:pPr>
    <w:rPr>
      <w:rFonts w:ascii="宋体" w:eastAsia="宋体" w:hAnsi="宋体" w:cs="宋体"/>
      <w:color w:val="7D7D7D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yperlink1">
    <w:name w:val="Hyperlink.1"/>
    <w:basedOn w:val="ab"/>
    <w:qFormat/>
    <w:rPr>
      <w:spacing w:val="0"/>
      <w:u w:val="single" w:color="000000"/>
    </w:rPr>
  </w:style>
  <w:style w:type="character" w:customStyle="1" w:styleId="ab">
    <w:name w:val="无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ind w:left="120"/>
      <w:outlineLvl w:val="0"/>
    </w:pPr>
    <w:rPr>
      <w:rFonts w:ascii="宋体" w:hAnsi="宋体" w:cs="宋体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widowControl w:val="0"/>
      <w:ind w:left="120"/>
    </w:pPr>
    <w:rPr>
      <w:rFonts w:ascii="宋体" w:hAnsi="宋体" w:cs="宋体"/>
      <w:color w:val="000000"/>
      <w:sz w:val="22"/>
      <w:szCs w:val="22"/>
      <w:u w:color="00000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intro1">
    <w:name w:val="intro1"/>
    <w:basedOn w:val="a"/>
    <w:qFormat/>
    <w:pPr>
      <w:widowControl/>
      <w:spacing w:before="100" w:beforeAutospacing="1" w:line="360" w:lineRule="auto"/>
      <w:jc w:val="left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customStyle="1" w:styleId="intro2">
    <w:name w:val="intro2"/>
    <w:basedOn w:val="a"/>
    <w:qFormat/>
    <w:pPr>
      <w:widowControl/>
      <w:spacing w:before="75" w:after="75" w:line="360" w:lineRule="auto"/>
      <w:jc w:val="left"/>
    </w:pPr>
    <w:rPr>
      <w:rFonts w:ascii="宋体" w:eastAsia="宋体" w:hAnsi="宋体" w:cs="宋体"/>
      <w:color w:val="7D7D7D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yperlink1">
    <w:name w:val="Hyperlink.1"/>
    <w:basedOn w:val="ab"/>
    <w:qFormat/>
    <w:rPr>
      <w:spacing w:val="0"/>
      <w:u w:val="single" w:color="000000"/>
    </w:rPr>
  </w:style>
  <w:style w:type="character" w:customStyle="1" w:styleId="ab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accaglobal.com/employers/roll/roll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18&#32423;ACCA&#26041;&#21521;&#29677;&#25253;&#21517;&#3492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%E6%90%9C%E7%8B%97%E9%AB%98%E9%80%9F%E4%B8%8B%E8%BD%BD\2014%E7%BA%A7ACCA%E6%96%B9%E5%90%91%E7%8F%AD%E6%8B%9B%E7%94%9F%E8%B5%84%E6%96%99\acca@dlnu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FE44-4F48-4331-88D7-C3C1AA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hp</cp:lastModifiedBy>
  <cp:revision>79</cp:revision>
  <cp:lastPrinted>2019-04-23T05:58:00Z</cp:lastPrinted>
  <dcterms:created xsi:type="dcterms:W3CDTF">2016-11-04T00:30:00Z</dcterms:created>
  <dcterms:modified xsi:type="dcterms:W3CDTF">2023-02-28T07:34:00Z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D9EABF9D8796474198D467947EAD835F</vt:lpwstr>
  </property>
</Properties>
</file>